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40"/>
        <w:jc w:val="left"/>
      </w:pPr>
      <w:r>
        <w:rPr>
          <w:rFonts w:ascii="Arial" w:hAnsi="Arial"/>
          <w:color w:val="1A4D8F"/>
          <w:sz w:val="44"/>
        </w:rPr>
        <w:t>POTS, Salt, and Cognition</w:t>
      </w:r>
    </w:p>
    <w:p>
      <w:pPr>
        <w:spacing w:after="40"/>
      </w:pPr>
      <w:r>
        <w:rPr>
          <w:rFonts w:ascii="Arial" w:hAnsi="Arial"/>
          <w:i/>
          <w:color w:val="555555"/>
          <w:sz w:val="26"/>
        </w:rPr>
        <w:t>Research Summary</w:t>
      </w:r>
    </w:p>
    <w:p>
      <w:pPr>
        <w:spacing w:after="240"/>
      </w:pPr>
      <w:r>
        <w:rPr>
          <w:rFonts w:ascii="Arial" w:hAnsi="Arial"/>
          <w:color w:val="888888"/>
          <w:sz w:val="20"/>
        </w:rPr>
        <w:t>April 2026</w:t>
      </w:r>
    </w:p>
    <w:p>
      <w:pPr>
        <w:pBdr>
          <w:bottom w:val="single" w:sz="4" w:space="1" w:color="CCCCCC"/>
        </w:pBdr>
        <w:spacing w:before="80" w:after="80"/>
      </w:pPr>
    </w:p>
    <w:p>
      <w:pPr>
        <w:pStyle w:val="Heading1"/>
        <w:spacing w:before="240" w:after="80"/>
      </w:pPr>
      <w:r>
        <w:t>Why POTS Causes Brain Fog</w:t>
      </w:r>
    </w:p>
    <w:p>
      <w:pPr>
        <w:spacing w:after="120" w:before="0"/>
      </w:pPr>
      <w:r>
        <w:rPr>
          <w:rFonts w:ascii="Arial" w:hAnsi="Arial"/>
          <w:b w:val="0"/>
          <w:i w:val="0"/>
          <w:sz w:val="22"/>
        </w:rPr>
        <w:t>Brain fog is nearly universal in POTS, reported by over 95% of patients and experienced daily by most. The mechanism is well understood: POTS involves dysregulation of the autonomic nervous system, which impairs the body's ability to maintain adequate upright cerebral blood flow. Transcranial Doppler studies confirm that POTS patients show significantly reduced cerebral blood flow velocity during both orthostatic and cognitive stress — even while seated. More than half of POTS patients also have central hypovolemia, where blood pools in the splanchnic (gut) vasculature rather than circulating to the brain. The result is the classic constellation of slowed thinking, impaired memory, and poor concentration.</w:t>
      </w:r>
    </w:p>
    <w:p>
      <w:pPr>
        <w:spacing w:after="120" w:before="0"/>
      </w:pPr>
      <w:r>
        <w:rPr>
          <w:rFonts w:ascii="Arial" w:hAnsi="Arial"/>
          <w:b w:val="0"/>
          <w:i w:val="0"/>
          <w:sz w:val="22"/>
        </w:rPr>
        <w:t>Treating the underlying dysautonomia — with salt, fluids, exercise, and medications — is the primary approach to improving cognitive function in POTS. The cognitive dysfunction generally tracks with other autonomic symptoms: when the dysautonomia is better managed, brain fog improves.</w:t>
      </w:r>
    </w:p>
    <w:p>
      <w:pPr>
        <w:pBdr>
          <w:bottom w:val="single" w:sz="4" w:space="1" w:color="CCCCCC"/>
        </w:pBdr>
        <w:spacing w:before="80" w:after="80"/>
      </w:pPr>
    </w:p>
    <w:p>
      <w:pPr>
        <w:pStyle w:val="Heading1"/>
        <w:spacing w:before="240" w:after="80"/>
      </w:pPr>
      <w:r>
        <w:t>The Role of Salt in POTS Management</w:t>
      </w:r>
    </w:p>
    <w:p>
      <w:pPr>
        <w:spacing w:after="120" w:before="0"/>
      </w:pPr>
      <w:r>
        <w:rPr>
          <w:rFonts w:ascii="Arial" w:hAnsi="Arial"/>
          <w:b w:val="0"/>
          <w:i w:val="0"/>
          <w:sz w:val="22"/>
        </w:rPr>
        <w:t>High sodium intake is a cornerstone first-line treatment for POTS. The mechanism is volume expansion: increased sodium raises plasma volume, reduces compensatory sympathetic activation (lowering norepinephrine levels), and decreases orthostatic tachycardia. The Heart Rhythm Society Expert Consensus recommends 10,000–12,000 mg of salt per day (roughly 4,000–4,800 mg of sodium) for POTS patients — several times the standard dietary recommendation for the general population.</w:t>
      </w:r>
    </w:p>
    <w:p>
      <w:pPr>
        <w:spacing w:after="120" w:before="0"/>
      </w:pPr>
      <w:r>
        <w:rPr>
          <w:rFonts w:ascii="Arial" w:hAnsi="Arial"/>
          <w:b w:val="0"/>
          <w:i w:val="0"/>
          <w:sz w:val="22"/>
        </w:rPr>
        <w:t>For many patients, adequate salt and fluid intake can meaningfully reduce or even resolve brain fog by restoring cerebral perfusion. The cognitive benefits of salt in POTS are not incidental — they are central to the treatment rationale.</w:t>
      </w:r>
    </w:p>
    <w:p>
      <w:pPr>
        <w:pBdr>
          <w:bottom w:val="single" w:sz="4" w:space="1" w:color="CCCCCC"/>
        </w:pBdr>
        <w:spacing w:before="80" w:after="80"/>
      </w:pPr>
    </w:p>
    <w:p>
      <w:pPr>
        <w:pStyle w:val="Heading1"/>
        <w:spacing w:before="240" w:after="80"/>
      </w:pPr>
      <w:r>
        <w:t>The Paradox: Salt and Cognition in the General Population</w:t>
      </w:r>
    </w:p>
    <w:p>
      <w:pPr>
        <w:spacing w:after="120" w:before="0"/>
      </w:pPr>
      <w:r>
        <w:rPr>
          <w:rFonts w:ascii="Arial" w:hAnsi="Arial"/>
          <w:b w:val="0"/>
          <w:i w:val="0"/>
          <w:sz w:val="22"/>
        </w:rPr>
        <w:t>In the general population, high-salt diets are increasingly associated with cognitive decline, not improvement. Recent research (2024–2025) has identified several mechanisms:</w:t>
      </w:r>
    </w:p>
    <w:p>
      <w:pPr>
        <w:pStyle w:val="ListBullet"/>
        <w:spacing w:after="60"/>
      </w:pPr>
      <w:r>
        <w:rPr>
          <w:rFonts w:ascii="Arial" w:hAnsi="Arial"/>
          <w:sz w:val="22"/>
        </w:rPr>
        <w:t>High-salt diets impair cerebrovascular function, reducing blood supply to the brain.</w:t>
      </w:r>
    </w:p>
    <w:p>
      <w:pPr>
        <w:pStyle w:val="ListBullet"/>
        <w:spacing w:after="60"/>
      </w:pPr>
      <w:r>
        <w:rPr>
          <w:rFonts w:ascii="Arial" w:hAnsi="Arial"/>
          <w:sz w:val="22"/>
        </w:rPr>
        <w:t>Excess sodium promotes hyperphosphorylation of tau protein — an independent risk factor for Alzheimer's pathology.</w:t>
      </w:r>
    </w:p>
    <w:p>
      <w:pPr>
        <w:pStyle w:val="ListBullet"/>
        <w:spacing w:after="60"/>
      </w:pPr>
      <w:r>
        <w:rPr>
          <w:rFonts w:ascii="Arial" w:hAnsi="Arial"/>
          <w:sz w:val="22"/>
        </w:rPr>
        <w:t>Molecular studies have found that dietary salt disrupts synaptic proteins, mitophagy pathways (SIRT3/PINK1), and GLP-1 receptor signaling in ways that impair memory and learning.</w:t>
      </w:r>
    </w:p>
    <w:p>
      <w:pPr>
        <w:spacing w:after="160" w:before="0"/>
      </w:pPr>
      <w:r>
        <w:rPr>
          <w:rFonts w:ascii="Arial" w:hAnsi="Arial"/>
          <w:b w:val="0"/>
          <w:i w:val="0"/>
          <w:sz w:val="22"/>
        </w:rPr>
        <w:t>These findings apply to people with intact autonomic regulation. In POTS, the calculus is different: the cognitive harm comes not from the sodium itself, but from untreated cerebral hypoperfusion. The question is whether the vascular and metabolic risks of high sodium eventually outweigh the functional gains.</w:t>
      </w:r>
    </w:p>
    <w:p>
      <w:pPr>
        <w:pBdr>
          <w:bottom w:val="single" w:sz="4" w:space="1" w:color="CCCCCC"/>
        </w:pBdr>
        <w:spacing w:before="80" w:after="80"/>
      </w:pPr>
    </w:p>
    <w:p>
      <w:pPr>
        <w:pStyle w:val="Heading1"/>
        <w:spacing w:before="240" w:after="80"/>
      </w:pPr>
      <w:r>
        <w:t>Cost / Benefit Analysis</w:t>
      </w:r>
    </w:p>
    <w:p>
      <w:pPr>
        <w:pStyle w:val="Heading2"/>
        <w:spacing w:before="160" w:after="80"/>
      </w:pPr>
      <w:r>
        <w:t>Benefits of Adequate Sodium Intake in POTS</w:t>
      </w:r>
    </w:p>
    <w:p>
      <w:pPr>
        <w:pStyle w:val="ListBullet"/>
        <w:spacing w:after="60"/>
      </w:pPr>
      <w:r>
        <w:rPr>
          <w:rFonts w:ascii="Arial" w:hAnsi="Arial"/>
          <w:sz w:val="22"/>
        </w:rPr>
        <w:t>Restores plasma volume and reduces orthostatic tachycardia.</w:t>
      </w:r>
    </w:p>
    <w:p>
      <w:pPr>
        <w:pStyle w:val="ListBullet"/>
        <w:spacing w:after="60"/>
      </w:pPr>
      <w:r>
        <w:rPr>
          <w:rFonts w:ascii="Arial" w:hAnsi="Arial"/>
          <w:sz w:val="22"/>
        </w:rPr>
        <w:t>Improves cerebral blood flow during upright posture and cognitive tasks.</w:t>
      </w:r>
    </w:p>
    <w:p>
      <w:pPr>
        <w:pStyle w:val="ListBullet"/>
        <w:spacing w:after="60"/>
      </w:pPr>
      <w:r>
        <w:rPr>
          <w:rFonts w:ascii="Arial" w:hAnsi="Arial"/>
          <w:sz w:val="22"/>
        </w:rPr>
        <w:t>Directly reduces brain fog, fatigue, and exercise intolerance.</w:t>
      </w:r>
    </w:p>
    <w:p>
      <w:pPr>
        <w:pStyle w:val="ListBullet"/>
        <w:spacing w:after="60"/>
      </w:pPr>
      <w:r>
        <w:rPr>
          <w:rFonts w:ascii="Arial" w:hAnsi="Arial"/>
          <w:sz w:val="22"/>
        </w:rPr>
        <w:t>May reduce sympathetic overdrive (lower norepinephrine), which is itself cardiotoxic long-term.</w:t>
      </w:r>
    </w:p>
    <w:p>
      <w:pPr>
        <w:pStyle w:val="ListBullet"/>
        <w:spacing w:after="60"/>
      </w:pPr>
      <w:r>
        <w:rPr>
          <w:rFonts w:ascii="Arial" w:hAnsi="Arial"/>
          <w:sz w:val="22"/>
        </w:rPr>
        <w:t>Non-pharmacologic, inexpensive, and well-tolerated by most patients in the short term.</w:t>
      </w:r>
    </w:p>
    <w:p>
      <w:pPr>
        <w:pStyle w:val="Heading2"/>
        <w:spacing w:before="160" w:after="80"/>
      </w:pPr>
      <w:r>
        <w:t>Risks of Chronically High Sodium Intake</w:t>
      </w:r>
    </w:p>
    <w:p>
      <w:pPr>
        <w:pStyle w:val="ListBullet"/>
        <w:spacing w:after="60"/>
      </w:pPr>
      <w:r>
        <w:rPr>
          <w:rFonts w:ascii="Arial" w:hAnsi="Arial"/>
          <w:sz w:val="22"/>
        </w:rPr>
        <w:t>Hypertension — the most significant long-term risk, though notably many POTS patients are normotensive or hypotensive, which partially mitigates this.</w:t>
      </w:r>
    </w:p>
    <w:p>
      <w:pPr>
        <w:pStyle w:val="ListBullet"/>
        <w:spacing w:after="60"/>
      </w:pPr>
      <w:r>
        <w:rPr>
          <w:rFonts w:ascii="Arial" w:hAnsi="Arial"/>
          <w:sz w:val="22"/>
        </w:rPr>
        <w:t>Increased cardiovascular risk (left ventricular hypertrophy, arterial stiffness) with sustained high intake over years.</w:t>
      </w:r>
    </w:p>
    <w:p>
      <w:pPr>
        <w:pStyle w:val="ListBullet"/>
        <w:spacing w:after="60"/>
      </w:pPr>
      <w:r>
        <w:rPr>
          <w:rFonts w:ascii="Arial" w:hAnsi="Arial"/>
          <w:sz w:val="22"/>
        </w:rPr>
        <w:t>Renal stress and possible long-term kidney function decline.</w:t>
      </w:r>
    </w:p>
    <w:p>
      <w:pPr>
        <w:pStyle w:val="ListBullet"/>
        <w:spacing w:after="60"/>
      </w:pPr>
      <w:r>
        <w:rPr>
          <w:rFonts w:ascii="Arial" w:hAnsi="Arial"/>
          <w:sz w:val="22"/>
        </w:rPr>
        <w:t>Possible direct neurotoxic effects via tau pathways and cerebrovascular changes — though it is unclear how much of this applies to POTS patients whose baseline cerebral perfusion is chronically compromised.</w:t>
      </w:r>
    </w:p>
    <w:p>
      <w:pPr>
        <w:pStyle w:val="ListBullet"/>
        <w:spacing w:after="60"/>
      </w:pPr>
      <w:r>
        <w:rPr>
          <w:rFonts w:ascii="Arial" w:hAnsi="Arial"/>
          <w:sz w:val="22"/>
        </w:rPr>
        <w:t>The long-term effects of therapeutic-level sodium in POTS patients specifically are essentially unknown; most studies are short-term.</w:t>
      </w:r>
    </w:p>
    <w:p>
      <w:pPr>
        <w:pStyle w:val="Heading2"/>
        <w:spacing w:before="160" w:after="80"/>
      </w:pPr>
      <w:r>
        <w:t>Key Clinical Nuance</w:t>
      </w:r>
    </w:p>
    <w:p>
      <w:pPr>
        <w:spacing w:after="120" w:before="0"/>
      </w:pPr>
      <w:r>
        <w:rPr>
          <w:rFonts w:ascii="Arial" w:hAnsi="Arial"/>
          <w:b w:val="0"/>
          <w:i w:val="0"/>
          <w:sz w:val="22"/>
        </w:rPr>
        <w:t>The existing research warns that clinicians should exercise caution when sodium excretion exceeds ~170 mmol/24 hours, and that 'the long-term effects of years of high sodium interventions in POTS are unknown.' This is an honest gap in the evidence. The benefit is well-established short-term; the harm is theoretical but biologically plausible long-term.</w:t>
      </w:r>
    </w:p>
    <w:p>
      <w:pPr>
        <w:pBdr>
          <w:bottom w:val="single" w:sz="4" w:space="1" w:color="CCCCCC"/>
        </w:pBdr>
        <w:spacing w:before="80" w:after="80"/>
      </w:pPr>
    </w:p>
    <w:p>
      <w:pPr>
        <w:pStyle w:val="Heading1"/>
        <w:spacing w:before="240" w:after="80"/>
      </w:pPr>
      <w:r>
        <w:t>Bottom Line</w:t>
      </w:r>
    </w:p>
    <w:p>
      <w:pPr>
        <w:spacing w:after="120" w:before="0"/>
      </w:pPr>
      <w:r>
        <w:rPr>
          <w:rFonts w:ascii="Arial" w:hAnsi="Arial"/>
          <w:b w:val="0"/>
          <w:i w:val="0"/>
          <w:sz w:val="22"/>
        </w:rPr>
        <w:t>For POTS patients, inadequately treated dysautonomia carries real and immediate cognitive costs — chronically reduced cerebral perfusion is not benign. The general-population data on salt and cognition, while concerning, may not translate directly to a population whose cognitive impairment is driven by hypovolemia and orthostatic hypoperfusion rather than vascular damage from chronic excess sodium.</w:t>
      </w:r>
    </w:p>
    <w:p>
      <w:pPr>
        <w:spacing w:after="120" w:before="0"/>
      </w:pPr>
      <w:r>
        <w:rPr>
          <w:rFonts w:ascii="Arial" w:hAnsi="Arial"/>
          <w:b w:val="0"/>
          <w:i w:val="0"/>
          <w:sz w:val="22"/>
        </w:rPr>
        <w:t>The risk-benefit calculus is likely favorable for most POTS patients, especially those who are normotensive — but it is not cost-free. Ongoing monitoring of blood pressure, kidney function, and cardiovascular markers is clinically prudent.</w:t>
      </w:r>
    </w:p>
    <w:p>
      <w:pPr>
        <w:spacing w:before="120" w:after="240"/>
      </w:pPr>
      <w:r>
        <w:rPr>
          <w:rFonts w:ascii="Arial" w:hAnsi="Arial"/>
          <w:i/>
          <w:color w:val="777777"/>
          <w:sz w:val="20"/>
        </w:rPr>
        <w:t>Note: This document is an informational research summary and does not constitute medical advice. Individuals with POTS should discuss treatment decisions with a qualified dysautonomia specialist or cardiologist.</w:t>
      </w:r>
    </w:p>
    <w:p>
      <w:pPr>
        <w:pBdr>
          <w:bottom w:val="single" w:sz="4" w:space="1" w:color="CCCCCC"/>
        </w:pBdr>
        <w:spacing w:before="80" w:after="80"/>
      </w:pPr>
    </w:p>
    <w:p>
      <w:pPr>
        <w:pStyle w:val="Heading1"/>
        <w:spacing w:before="240" w:after="80"/>
      </w:pPr>
      <w:r>
        <w:t>Sources</w:t>
      </w:r>
    </w:p>
    <w:p>
      <w:pPr>
        <w:pStyle w:val="ListBullet"/>
        <w:spacing w:after="60"/>
      </w:pPr>
      <w:hyperlink r:id="rId9">
        <w:r>
          <w:rPr>
            <w:rStyle w:val="Hyperlink"/>
          </w:rPr>
          <w:t>Salt and Dysautonomia – The Dysautonomia Project</w:t>
        </w:r>
      </w:hyperlink>
    </w:p>
    <w:p>
      <w:pPr>
        <w:pStyle w:val="ListBullet"/>
        <w:spacing w:after="60"/>
      </w:pPr>
      <w:hyperlink r:id="rId10">
        <w:r>
          <w:rPr>
            <w:rStyle w:val="Hyperlink"/>
          </w:rPr>
          <w:t>Effect of High Dietary Sodium Intake in POTS Patients – PMC</w:t>
        </w:r>
      </w:hyperlink>
    </w:p>
    <w:p>
      <w:pPr>
        <w:pStyle w:val="ListBullet"/>
        <w:spacing w:after="60"/>
      </w:pPr>
      <w:hyperlink r:id="rId11">
        <w:r>
          <w:rPr>
            <w:rStyle w:val="Hyperlink"/>
          </w:rPr>
          <w:t>Dietary Sodium and Health: How Much is Too Much for Orthostatic Disorders? – PMC</w:t>
        </w:r>
      </w:hyperlink>
    </w:p>
    <w:p>
      <w:pPr>
        <w:pStyle w:val="ListBullet"/>
        <w:spacing w:after="60"/>
      </w:pPr>
      <w:hyperlink r:id="rId12">
        <w:r>
          <w:rPr>
            <w:rStyle w:val="Hyperlink"/>
          </w:rPr>
          <w:t>Cerebral Blood Flow and Cognitive Performance in POTS – JAHA</w:t>
        </w:r>
      </w:hyperlink>
    </w:p>
    <w:p>
      <w:pPr>
        <w:pStyle w:val="ListBullet"/>
        <w:spacing w:after="60"/>
      </w:pPr>
      <w:hyperlink r:id="rId13">
        <w:r>
          <w:rPr>
            <w:rStyle w:val="Hyperlink"/>
          </w:rPr>
          <w:t>Novel Brain SPECT Imaging in POTS and Cognitive Dysfunction – Scientific Reports</w:t>
        </w:r>
      </w:hyperlink>
    </w:p>
    <w:p>
      <w:pPr>
        <w:pStyle w:val="ListBullet"/>
        <w:spacing w:after="60"/>
      </w:pPr>
      <w:hyperlink r:id="rId14">
        <w:r>
          <w:rPr>
            <w:rStyle w:val="Hyperlink"/>
          </w:rPr>
          <w:t>Cognitive Dysfunction and Brain Fog in POTS – Dysautonomia International</w:t>
        </w:r>
      </w:hyperlink>
    </w:p>
    <w:p>
      <w:pPr>
        <w:pStyle w:val="ListBullet"/>
        <w:spacing w:after="60"/>
      </w:pPr>
      <w:hyperlink r:id="rId15">
        <w:r>
          <w:rPr>
            <w:rStyle w:val="Hyperlink"/>
          </w:rPr>
          <w:t>Dietary Salt, Vascular Dysfunction, and Cognitive Impairment – PubMed</w:t>
        </w:r>
      </w:hyperlink>
    </w:p>
    <w:p>
      <w:pPr>
        <w:pStyle w:val="ListBullet"/>
        <w:spacing w:after="60"/>
      </w:pPr>
      <w:hyperlink r:id="rId16">
        <w:r>
          <w:rPr>
            <w:rStyle w:val="Hyperlink"/>
          </w:rPr>
          <w:t>Molecular Link Between High Salt and Cognitive Decline – PsyPost / Scientific Reports</w:t>
        </w:r>
      </w:hyperlink>
    </w:p>
    <w:p>
      <w:pPr>
        <w:pStyle w:val="ListBullet"/>
        <w:spacing w:after="60"/>
      </w:pPr>
      <w:hyperlink r:id="rId17">
        <w:r>
          <w:rPr>
            <w:rStyle w:val="Hyperlink"/>
          </w:rPr>
          <w:t>Cardiovascular Dysautonomia and Cognitive Impairment – Spandidos</w:t>
        </w:r>
      </w:hyperlink>
    </w:p>
    <w:p>
      <w:pPr>
        <w:pStyle w:val="ListBullet"/>
        <w:spacing w:after="60"/>
      </w:pPr>
      <w:hyperlink r:id="rId18">
        <w:r>
          <w:rPr>
            <w:rStyle w:val="Hyperlink"/>
          </w:rPr>
          <w:t>POTS Brain Fog: Causes and Treatment – CognitiveFX</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A4D8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E6E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555555"/>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hedysautonomiaproject.org/salt-and-dysautonomia/" TargetMode="External"/><Relationship Id="rId10" Type="http://schemas.openxmlformats.org/officeDocument/2006/relationships/hyperlink" Target="https://pmc.ncbi.nlm.nih.gov/articles/PMC8103825/" TargetMode="External"/><Relationship Id="rId11" Type="http://schemas.openxmlformats.org/officeDocument/2006/relationships/hyperlink" Target="https://pmc.ncbi.nlm.nih.gov/articles/PMC9296699/" TargetMode="External"/><Relationship Id="rId12" Type="http://schemas.openxmlformats.org/officeDocument/2006/relationships/hyperlink" Target="https://www.ahajournals.org/doi/10.1161/JAHA.120.017861" TargetMode="External"/><Relationship Id="rId13" Type="http://schemas.openxmlformats.org/officeDocument/2006/relationships/hyperlink" Target="https://www.nature.com/articles/s41598-025-87748-4" TargetMode="External"/><Relationship Id="rId14" Type="http://schemas.openxmlformats.org/officeDocument/2006/relationships/hyperlink" Target="https://dysautonomiainternational.org/blog/wordpress/cognitive-dysfunction-and-brain-fog-in-pots/" TargetMode="External"/><Relationship Id="rId15" Type="http://schemas.openxmlformats.org/officeDocument/2006/relationships/hyperlink" Target="https://pubmed.ncbi.nlm.nih.gov/39429024/" TargetMode="External"/><Relationship Id="rId16" Type="http://schemas.openxmlformats.org/officeDocument/2006/relationships/hyperlink" Target="https://www.psypost.org/scientists-uncover-molecular-link-between-high-salt-and-cognitive-decline/" TargetMode="External"/><Relationship Id="rId17" Type="http://schemas.openxmlformats.org/officeDocument/2006/relationships/hyperlink" Target="https://www.spandidos-publications.com/10.3892/mi.2024.194" TargetMode="External"/><Relationship Id="rId18" Type="http://schemas.openxmlformats.org/officeDocument/2006/relationships/hyperlink" Target="https://www.cognitivefxusa.com/blog/pots-brain-fog-causes-and-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